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rPr>
      </w:pP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rPr>
      </w:pPr>
    </w:p>
    <w:p>
      <w:pPr>
        <w:pStyle w:val="10"/>
        <w:bidi w:val="0"/>
        <w:rPr>
          <w:rFonts w:hint="eastAsia"/>
        </w:rPr>
      </w:pPr>
      <w:r>
        <w:rPr>
          <w:rFonts w:hint="eastAsia"/>
        </w:rPr>
        <w:t>中华人民共和国最高人民法院</w:t>
      </w:r>
    </w:p>
    <w:p>
      <w:pPr>
        <w:pStyle w:val="10"/>
        <w:bidi w:val="0"/>
        <w:rPr>
          <w:rFonts w:hint="eastAsia"/>
        </w:rPr>
      </w:pPr>
      <w:r>
        <w:rPr>
          <w:rFonts w:hint="eastAsia"/>
        </w:rPr>
        <w:t>公</w:t>
      </w:r>
      <w:r>
        <w:rPr>
          <w:rFonts w:hint="eastAsia"/>
          <w:lang w:eastAsia="zh-CN"/>
        </w:rPr>
        <w:t xml:space="preserve">    </w:t>
      </w:r>
      <w:r>
        <w:rPr>
          <w:rFonts w:hint="eastAsia"/>
        </w:rPr>
        <w:t>告</w:t>
      </w:r>
    </w:p>
    <w:p>
      <w:pPr>
        <w:pStyle w:val="1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w:t>
      </w:r>
      <w:bookmarkStart w:id="0" w:name="_GoBack"/>
      <w:r>
        <w:rPr>
          <w:rFonts w:hint="eastAsia" w:ascii="仿宋_GB2312" w:hAnsi="宋体" w:eastAsia="仿宋_GB2312" w:cs="宋体"/>
          <w:sz w:val="32"/>
          <w:szCs w:val="32"/>
        </w:rPr>
        <w:t>最高人民法院关于知识产权法庭若干问题的规定</w:t>
      </w:r>
      <w:bookmarkEnd w:id="0"/>
      <w:r>
        <w:rPr>
          <w:rFonts w:hint="eastAsia" w:ascii="仿宋_GB2312" w:hAnsi="宋体" w:eastAsia="仿宋_GB2312" w:cs="宋体"/>
          <w:sz w:val="32"/>
          <w:szCs w:val="32"/>
        </w:rPr>
        <w:t>》已于2018年12月3日由最高人民法院审判委员会第1756次会议通过，现予公布，自2019年1月1日起施行。</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2018年12月27日</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Ansi="宋体" w:cs="宋体"/>
          <w:sz w:val="32"/>
          <w:szCs w:val="32"/>
        </w:rPr>
        <w:sectPr>
          <w:footerReference r:id="rId4" w:type="default"/>
          <w:headerReference r:id="rId3" w:type="even"/>
          <w:footerReference r:id="rId5" w:type="even"/>
          <w:pgSz w:w="11906" w:h="16838"/>
          <w:pgMar w:top="2098" w:right="1474" w:bottom="1984" w:left="1587" w:header="851" w:footer="992" w:gutter="0"/>
          <w:pgNumType w:start="0"/>
          <w:cols w:space="425" w:num="1"/>
          <w:docGrid w:type="lines" w:linePitch="312" w:charSpace="0"/>
        </w:sect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Ansi="宋体" w:cs="宋体"/>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hAnsi="宋体" w:cs="宋体"/>
          <w:sz w:val="32"/>
          <w:szCs w:val="32"/>
        </w:rPr>
      </w:pPr>
    </w:p>
    <w:p>
      <w:pPr>
        <w:pStyle w:val="10"/>
        <w:bidi w:val="0"/>
        <w:rPr>
          <w:rFonts w:hint="eastAsia"/>
        </w:rPr>
      </w:pPr>
      <w:r>
        <w:rPr>
          <w:rFonts w:hint="eastAsia"/>
        </w:rPr>
        <w:t>最高人民法院关于知识产权法庭若干问题的规定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中宋" w:hAnsi="华文中宋" w:eastAsia="华文中宋" w:cs="宋体"/>
          <w:sz w:val="32"/>
          <w:szCs w:val="32"/>
        </w:rPr>
      </w:pPr>
    </w:p>
    <w:p>
      <w:pPr>
        <w:pStyle w:val="12"/>
        <w:bidi w:val="0"/>
      </w:pPr>
      <w:r>
        <w:rPr>
          <w:rFonts w:hint="eastAsia"/>
        </w:rPr>
        <w:t>法释〔2018〕22号</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华文中宋" w:hAnsi="华文中宋" w:eastAsia="华文中宋" w:cs="宋体"/>
          <w:sz w:val="32"/>
          <w:szCs w:val="32"/>
        </w:rPr>
      </w:pPr>
    </w:p>
    <w:p>
      <w:pPr>
        <w:pStyle w:val="11"/>
        <w:bidi w:val="0"/>
        <w:rPr>
          <w:rFonts w:hint="eastAsia"/>
        </w:rPr>
      </w:pPr>
      <w:r>
        <w:rPr>
          <w:rFonts w:hint="eastAsia"/>
        </w:rPr>
        <w:t>（2018年12月3日最高人民法院审判委员会第1756次会议通过，自2019年1月1日起施行）</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为进一步统一知识产权案件裁判标准，依法平等保护各类市场主体合法权益，加大知识产权司法保护力度，优化科技创新法治环境，加快实施创新驱动发展战略，根据《中华人民共和国人民法院组织法》《中华人民共和国民事诉讼法》《中华人民共和国行政诉讼法》《全国人民代表大会常务委员会关于专利等知识产权案件诉讼程序若干问题的决定》等法律规定，结合审判工作实际，就最高人民法院知识产权法庭相关问题规定如下。</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第一条  </w:t>
      </w:r>
      <w:r>
        <w:rPr>
          <w:rFonts w:hint="eastAsia" w:ascii="仿宋_GB2312" w:hAnsi="宋体" w:eastAsia="仿宋_GB2312" w:cs="宋体"/>
          <w:sz w:val="32"/>
          <w:szCs w:val="32"/>
        </w:rPr>
        <w:t>最高人民法院设立知识产权法庭，主要审理专利等专业技术性较强的知识产权上诉案件。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知识产权法庭是最高人民法院派出的常设审判机构，设在北京市。</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知识产权法庭作出的判决、裁定、调解书和决定，是最高人民法院的判决、裁定、调解书和决定。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第二条  </w:t>
      </w:r>
      <w:r>
        <w:rPr>
          <w:rFonts w:hint="eastAsia" w:ascii="仿宋_GB2312" w:hAnsi="宋体" w:eastAsia="仿宋_GB2312" w:cs="宋体"/>
          <w:sz w:val="32"/>
          <w:szCs w:val="32"/>
        </w:rPr>
        <w:t>知识产权法庭审理下列案件：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（一）不服高级人民法院、知识产权法院、中级人民法院作出的发明专利、实用新型专利、植物新品种、集成电路布图设计、技术秘密、计算机软件、垄断第一审民事案件判决、裁定而提起上诉的案件；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（二）不服北京知识产权法院对发明专利、实用新型专利、外观设计专利、植物新品种、集成电路布图设计授权确权作出的第一审行政案件判决、裁定而提起上诉的案件；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三）不服高级人民法院、知识产权法院、中级人民法院对发明专利、实用新型专利、外观设计专利、植物新品种、集成电路布图设计、技术秘密、计算机软件、垄断行政处罚等作出的第一审行政案件判决、裁定而提起上诉的案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（四）全国范围内重大、复杂的本条第一、二、三项所称第一审民事和行政案件;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（五）对本条第一、二、三项所称第一审案件已经发生法律效力的判决、裁定、调解书依法申请再审、抗诉、再审等适用审判监督程序的案件；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（六）本条第一、二、三项所称第一审案件管辖权争议，罚款、拘留决定申请复议，报请延长审限等案件；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（七）最高人民法院认为应当由知识产权法庭审理的其他案件。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第三条  </w:t>
      </w:r>
      <w:r>
        <w:rPr>
          <w:rFonts w:hint="eastAsia" w:ascii="仿宋_GB2312" w:hAnsi="宋体" w:eastAsia="仿宋_GB2312" w:cs="宋体"/>
          <w:sz w:val="32"/>
          <w:szCs w:val="32"/>
        </w:rPr>
        <w:t>本规定第二条第一、二、三项所称第一审案件的审理法院应当按照规定及时向知识产权法庭移送纸质和电子卷宗。</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第四条  </w:t>
      </w:r>
      <w:r>
        <w:rPr>
          <w:rFonts w:hint="eastAsia" w:ascii="仿宋_GB2312" w:hAnsi="宋体" w:eastAsia="仿宋_GB2312" w:cs="宋体"/>
          <w:sz w:val="32"/>
          <w:szCs w:val="32"/>
        </w:rPr>
        <w:t>经当事人同意，知识产权法庭可以通过电子诉讼平台、中国审判流程信息公开网以及传真、电子邮件等电子方式送达诉讼文件、证据材料及裁判文书等。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第五条  </w:t>
      </w:r>
      <w:r>
        <w:rPr>
          <w:rFonts w:hint="eastAsia" w:ascii="仿宋_GB2312" w:hAnsi="宋体" w:eastAsia="仿宋_GB2312" w:cs="宋体"/>
          <w:sz w:val="32"/>
          <w:szCs w:val="32"/>
        </w:rPr>
        <w:t>知识产权法庭可以通过电子诉讼平台或者采取在线视频等方式组织证据交换、召集庭前会议等。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第六条  </w:t>
      </w:r>
      <w:r>
        <w:rPr>
          <w:rFonts w:hint="eastAsia" w:ascii="仿宋_GB2312" w:hAnsi="宋体" w:eastAsia="仿宋_GB2312" w:cs="宋体"/>
          <w:sz w:val="32"/>
          <w:szCs w:val="32"/>
        </w:rPr>
        <w:t>知识产权法庭可以根据案件情况到实地或者原审人民法院所在地巡回审理案件。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第七条  </w:t>
      </w:r>
      <w:r>
        <w:rPr>
          <w:rFonts w:hint="eastAsia" w:ascii="仿宋_GB2312" w:hAnsi="宋体" w:eastAsia="仿宋_GB2312" w:cs="宋体"/>
          <w:sz w:val="32"/>
          <w:szCs w:val="32"/>
        </w:rPr>
        <w:t>知识产权法庭采取保全等措施，依照执行程序相关规定办理。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第八条  </w:t>
      </w:r>
      <w:r>
        <w:rPr>
          <w:rFonts w:hint="eastAsia" w:ascii="仿宋_GB2312" w:hAnsi="宋体" w:eastAsia="仿宋_GB2312" w:cs="宋体"/>
          <w:sz w:val="32"/>
          <w:szCs w:val="32"/>
        </w:rPr>
        <w:t>知识产权法庭审理的案件的立案信息、合议庭组成人员、审判流程、裁判文书等向当事人和社会依法公开，同时可以通过电子诉讼平台、中国审判流程信息公开网查询。</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第九条  </w:t>
      </w:r>
      <w:r>
        <w:rPr>
          <w:rFonts w:hint="eastAsia" w:ascii="仿宋_GB2312" w:hAnsi="宋体" w:eastAsia="仿宋_GB2312" w:cs="宋体"/>
          <w:sz w:val="32"/>
          <w:szCs w:val="32"/>
        </w:rPr>
        <w:t>知识产权法庭法官会议由庭长、副庭长和若干资深法官组成，讨论重大、疑难、复杂案件等。</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第十条  </w:t>
      </w:r>
      <w:r>
        <w:rPr>
          <w:rFonts w:hint="eastAsia" w:ascii="仿宋_GB2312" w:hAnsi="宋体" w:eastAsia="仿宋_GB2312" w:cs="宋体"/>
          <w:sz w:val="32"/>
          <w:szCs w:val="32"/>
        </w:rPr>
        <w:t>知识产权法庭应当加强对有关案件审判工作的调研，及时总结裁判标准和审理规则，指导下级人民法院审判工作。</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第十一条  </w:t>
      </w:r>
      <w:r>
        <w:rPr>
          <w:rFonts w:hint="eastAsia" w:ascii="仿宋_GB2312" w:hAnsi="宋体" w:eastAsia="仿宋_GB2312" w:cs="宋体"/>
          <w:sz w:val="32"/>
          <w:szCs w:val="32"/>
        </w:rPr>
        <w:t>对知识产权法院、中级人民法院已经发生法律效力的本规定第二条第一、二、三项所称第一审案件判决、裁定、调解书，省级人民检察院向高级人民法院提出抗诉的，高级人民法院应当告知其由最高人民检察院依法向最高人民法院提出，并由知识产权法庭审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第十二条  </w:t>
      </w:r>
      <w:r>
        <w:rPr>
          <w:rFonts w:hint="eastAsia" w:ascii="仿宋_GB2312" w:hAnsi="宋体" w:eastAsia="仿宋_GB2312" w:cs="宋体"/>
          <w:sz w:val="32"/>
          <w:szCs w:val="32"/>
        </w:rPr>
        <w:t>本规定第二条第一、二、三项所称第一审案件的判决、裁定或者决定，于2019年1月1日前作出，当事人依法提起上诉或者申请复议的，由原审人民法院的上一级人民法院审理。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第十三条  </w:t>
      </w:r>
      <w:r>
        <w:rPr>
          <w:rFonts w:hint="eastAsia" w:ascii="仿宋_GB2312" w:hAnsi="宋体" w:eastAsia="仿宋_GB2312" w:cs="宋体"/>
          <w:sz w:val="32"/>
          <w:szCs w:val="32"/>
        </w:rPr>
        <w:t>本规定第二条第一、二、三项所称第一审案件已经发生法律效力的判决、裁定、调解书，于2019年1月1日前作出，对其依法申请再审、抗诉、再审的，适用《中华人民共和国民事诉讼法》《中华人民共和国行政诉讼法》有关规定。</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第十四条  </w:t>
      </w:r>
      <w:r>
        <w:rPr>
          <w:rFonts w:hint="eastAsia" w:ascii="仿宋_GB2312" w:hAnsi="宋体" w:eastAsia="仿宋_GB2312" w:cs="宋体"/>
          <w:sz w:val="32"/>
          <w:szCs w:val="32"/>
        </w:rPr>
        <w:t>本规定施行前经批准可以受理专利、技术秘密、计算机软件、垄断第一审民事和行政案件的基层人民法院，不再受理上述案件。</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对于基层人民法院2019年1月1日尚未审结的前款规定的案件，当事人不服其判决、裁定依法提起上诉的，由其上一级人民法院审理。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宋体"/>
          <w:sz w:val="32"/>
          <w:szCs w:val="32"/>
        </w:rPr>
      </w:pPr>
      <w:r>
        <w:rPr>
          <w:rFonts w:hint="eastAsia" w:ascii="黑体" w:hAnsi="黑体" w:eastAsia="黑体" w:cs="宋体"/>
          <w:sz w:val="32"/>
          <w:szCs w:val="32"/>
        </w:rPr>
        <w:t xml:space="preserve">第十五条  </w:t>
      </w:r>
      <w:r>
        <w:rPr>
          <w:rFonts w:hint="eastAsia" w:ascii="仿宋_GB2312" w:hAnsi="宋体" w:eastAsia="仿宋_GB2312" w:cs="宋体"/>
          <w:sz w:val="32"/>
          <w:szCs w:val="32"/>
        </w:rPr>
        <w:t>本规定自2019年1月1日起施行。最高人民法院此前发布的司法解释与本规定不一致的，以本规定为准。</w:t>
      </w:r>
    </w:p>
    <w:sectPr>
      <w:footerReference r:id="rId7" w:type="default"/>
      <w:headerReference r:id="rId6" w:type="even"/>
      <w:footerReference r:id="rId8" w:type="even"/>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8240" behindDoc="0" locked="0" layoutInCell="1" allowOverlap="1">
              <wp:simplePos x="0" y="0"/>
              <wp:positionH relativeFrom="margin">
                <wp:posOffset>5149215</wp:posOffset>
              </wp:positionH>
              <wp:positionV relativeFrom="paragraph">
                <wp:posOffset>-502920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3</w:t>
                          </w:r>
                          <w:r>
                            <w:rPr>
                              <w:rStyle w:val="9"/>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405.45pt;margin-top:-39.6pt;height:144pt;width:144pt;mso-position-horizontal-relative:margin;mso-wrap-style:none;z-index:251658240;mso-width-relative:page;mso-height-relative:page;" filled="f" stroked="f" coordsize="21600,21600" o:gfxdata="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pQPK7WAAAADAEAAA8AAAAAAAAAAQAgAAAAIgAAAGRycy9kb3ducmV2&#10;LnhtbFBLAQIUABQAAAAIAIdO4kAtNn0sxQEAAGsDAAAOAAAAAAAAAAEAIAAAACUBAABkcnMvZTJv&#10;RG9jLnhtbFBLBQYAAAAABgAGAFkBAABcBQAAAAA=&#10;">
              <v:fill on="f" focussize="0,0"/>
              <v:stroke on="f"/>
              <v:imagedata o:title=""/>
              <o:lock v:ext="edit" aspectratio="f"/>
              <v:textbox inset="0mm,0mm,0mm,0mm" style="mso-fit-shape-to-text:t;">
                <w:txbxContent>
                  <w:p>
                    <w:pPr>
                      <w:pStyle w:val="5"/>
                      <w:rPr>
                        <w:rStyle w:val="9"/>
                        <w:rFonts w:hint="eastAsia" w:ascii="宋体" w:hAnsi="宋体" w:eastAsia="宋体" w:cs="宋体"/>
                        <w:sz w:val="28"/>
                        <w:szCs w:val="28"/>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separate"/>
                    </w:r>
                    <w:r>
                      <w:rPr>
                        <w:rStyle w:val="9"/>
                        <w:rFonts w:hint="eastAsia" w:ascii="宋体" w:hAnsi="宋体" w:eastAsia="宋体" w:cs="宋体"/>
                        <w:sz w:val="28"/>
                        <w:szCs w:val="28"/>
                      </w:rPr>
                      <w:t>3</w:t>
                    </w:r>
                    <w:r>
                      <w:rPr>
                        <w:rStyle w:val="9"/>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612" w:y="-755"/>
      <w:rPr>
        <w:rStyle w:val="9"/>
      </w:rPr>
    </w:pPr>
    <w:r>
      <w:rPr>
        <w:rStyle w:val="9"/>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Style w:val="9"/>
        <w:rFonts w:hint="eastAsia" w:ascii="宋体" w:hAnsi="宋体" w:eastAsia="宋体" w:cs="宋体"/>
        <w:sz w:val="28"/>
        <w:szCs w:val="28"/>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C55"/>
    <w:rsid w:val="000051BA"/>
    <w:rsid w:val="00007DC9"/>
    <w:rsid w:val="00022FF2"/>
    <w:rsid w:val="000246CF"/>
    <w:rsid w:val="00026B55"/>
    <w:rsid w:val="0004157A"/>
    <w:rsid w:val="00041639"/>
    <w:rsid w:val="00046FD0"/>
    <w:rsid w:val="00060A39"/>
    <w:rsid w:val="00060B3A"/>
    <w:rsid w:val="00070A8B"/>
    <w:rsid w:val="000720A0"/>
    <w:rsid w:val="00072E51"/>
    <w:rsid w:val="000831A5"/>
    <w:rsid w:val="00092662"/>
    <w:rsid w:val="00093500"/>
    <w:rsid w:val="00094871"/>
    <w:rsid w:val="000A67EC"/>
    <w:rsid w:val="000B1F15"/>
    <w:rsid w:val="000B47FF"/>
    <w:rsid w:val="000D7352"/>
    <w:rsid w:val="000E5187"/>
    <w:rsid w:val="000E56CF"/>
    <w:rsid w:val="000E6D88"/>
    <w:rsid w:val="000F2196"/>
    <w:rsid w:val="000F2D91"/>
    <w:rsid w:val="00106D59"/>
    <w:rsid w:val="001211C7"/>
    <w:rsid w:val="00125415"/>
    <w:rsid w:val="00141FB6"/>
    <w:rsid w:val="00156266"/>
    <w:rsid w:val="00162880"/>
    <w:rsid w:val="0016489F"/>
    <w:rsid w:val="0016665A"/>
    <w:rsid w:val="00170A71"/>
    <w:rsid w:val="001B131A"/>
    <w:rsid w:val="001B153F"/>
    <w:rsid w:val="001B6523"/>
    <w:rsid w:val="001D4E14"/>
    <w:rsid w:val="001D5662"/>
    <w:rsid w:val="001E1AB1"/>
    <w:rsid w:val="002064F7"/>
    <w:rsid w:val="00206B2B"/>
    <w:rsid w:val="0021638E"/>
    <w:rsid w:val="0023259F"/>
    <w:rsid w:val="00233F94"/>
    <w:rsid w:val="00235183"/>
    <w:rsid w:val="00241E35"/>
    <w:rsid w:val="002428F9"/>
    <w:rsid w:val="002671B1"/>
    <w:rsid w:val="00271C80"/>
    <w:rsid w:val="00277543"/>
    <w:rsid w:val="00281EEF"/>
    <w:rsid w:val="0028710F"/>
    <w:rsid w:val="002A0E27"/>
    <w:rsid w:val="002A0E47"/>
    <w:rsid w:val="002A1765"/>
    <w:rsid w:val="002A1BB0"/>
    <w:rsid w:val="002A7E25"/>
    <w:rsid w:val="002B5E8C"/>
    <w:rsid w:val="002C11D2"/>
    <w:rsid w:val="002D6C55"/>
    <w:rsid w:val="002E52C2"/>
    <w:rsid w:val="00313AEE"/>
    <w:rsid w:val="0031621E"/>
    <w:rsid w:val="00334544"/>
    <w:rsid w:val="003370AB"/>
    <w:rsid w:val="003407E4"/>
    <w:rsid w:val="00342C41"/>
    <w:rsid w:val="00344576"/>
    <w:rsid w:val="00356973"/>
    <w:rsid w:val="00356AAC"/>
    <w:rsid w:val="00357579"/>
    <w:rsid w:val="00357968"/>
    <w:rsid w:val="00374592"/>
    <w:rsid w:val="00384827"/>
    <w:rsid w:val="003854B1"/>
    <w:rsid w:val="003871CA"/>
    <w:rsid w:val="003902DE"/>
    <w:rsid w:val="00390825"/>
    <w:rsid w:val="00394561"/>
    <w:rsid w:val="00395336"/>
    <w:rsid w:val="003E737D"/>
    <w:rsid w:val="003F534F"/>
    <w:rsid w:val="00422EA0"/>
    <w:rsid w:val="00424C9C"/>
    <w:rsid w:val="00431DB2"/>
    <w:rsid w:val="00432CA7"/>
    <w:rsid w:val="004358E6"/>
    <w:rsid w:val="00440B14"/>
    <w:rsid w:val="00447D9F"/>
    <w:rsid w:val="00454D12"/>
    <w:rsid w:val="00463561"/>
    <w:rsid w:val="004724D5"/>
    <w:rsid w:val="00473BA4"/>
    <w:rsid w:val="004745A3"/>
    <w:rsid w:val="0048272B"/>
    <w:rsid w:val="004A69A0"/>
    <w:rsid w:val="004B0465"/>
    <w:rsid w:val="004B2619"/>
    <w:rsid w:val="004B7D8C"/>
    <w:rsid w:val="004C1EAA"/>
    <w:rsid w:val="004C569C"/>
    <w:rsid w:val="004F5158"/>
    <w:rsid w:val="00506C84"/>
    <w:rsid w:val="005142A1"/>
    <w:rsid w:val="00517CAB"/>
    <w:rsid w:val="0053713F"/>
    <w:rsid w:val="005433C2"/>
    <w:rsid w:val="005502F2"/>
    <w:rsid w:val="00562083"/>
    <w:rsid w:val="0058350A"/>
    <w:rsid w:val="00594376"/>
    <w:rsid w:val="005A56F6"/>
    <w:rsid w:val="005A6C12"/>
    <w:rsid w:val="005C1972"/>
    <w:rsid w:val="005D3469"/>
    <w:rsid w:val="005E2A4A"/>
    <w:rsid w:val="005F1B3D"/>
    <w:rsid w:val="00602816"/>
    <w:rsid w:val="00604ACB"/>
    <w:rsid w:val="00606C5B"/>
    <w:rsid w:val="006171AA"/>
    <w:rsid w:val="006178C3"/>
    <w:rsid w:val="00621BAF"/>
    <w:rsid w:val="0062410E"/>
    <w:rsid w:val="00626CE8"/>
    <w:rsid w:val="00661621"/>
    <w:rsid w:val="006711F4"/>
    <w:rsid w:val="0068140B"/>
    <w:rsid w:val="00685825"/>
    <w:rsid w:val="006B086F"/>
    <w:rsid w:val="006E1FF4"/>
    <w:rsid w:val="006E7630"/>
    <w:rsid w:val="006F0A7E"/>
    <w:rsid w:val="006F6FC3"/>
    <w:rsid w:val="00715180"/>
    <w:rsid w:val="00720A73"/>
    <w:rsid w:val="00720CAF"/>
    <w:rsid w:val="00724377"/>
    <w:rsid w:val="007276B4"/>
    <w:rsid w:val="00733E0F"/>
    <w:rsid w:val="00745D25"/>
    <w:rsid w:val="007506EE"/>
    <w:rsid w:val="0075447F"/>
    <w:rsid w:val="00754A2D"/>
    <w:rsid w:val="007643CE"/>
    <w:rsid w:val="00766157"/>
    <w:rsid w:val="00767F68"/>
    <w:rsid w:val="0077490A"/>
    <w:rsid w:val="007775EF"/>
    <w:rsid w:val="007A51E0"/>
    <w:rsid w:val="007A6544"/>
    <w:rsid w:val="007C01D1"/>
    <w:rsid w:val="007C5705"/>
    <w:rsid w:val="007D13B8"/>
    <w:rsid w:val="007D77CE"/>
    <w:rsid w:val="00802CDC"/>
    <w:rsid w:val="00805E1D"/>
    <w:rsid w:val="00823C1E"/>
    <w:rsid w:val="00826D77"/>
    <w:rsid w:val="0083338D"/>
    <w:rsid w:val="008701AB"/>
    <w:rsid w:val="0087139A"/>
    <w:rsid w:val="00877798"/>
    <w:rsid w:val="008802DB"/>
    <w:rsid w:val="00890F76"/>
    <w:rsid w:val="0089274E"/>
    <w:rsid w:val="008A08FA"/>
    <w:rsid w:val="008E70E5"/>
    <w:rsid w:val="008F50DB"/>
    <w:rsid w:val="008F5238"/>
    <w:rsid w:val="008F7723"/>
    <w:rsid w:val="00904BC8"/>
    <w:rsid w:val="00913A4E"/>
    <w:rsid w:val="00925F75"/>
    <w:rsid w:val="0097410F"/>
    <w:rsid w:val="00974280"/>
    <w:rsid w:val="00974393"/>
    <w:rsid w:val="0097704C"/>
    <w:rsid w:val="00986E71"/>
    <w:rsid w:val="009942EB"/>
    <w:rsid w:val="009A1862"/>
    <w:rsid w:val="009A78E1"/>
    <w:rsid w:val="009B548C"/>
    <w:rsid w:val="009D18B6"/>
    <w:rsid w:val="009E6F62"/>
    <w:rsid w:val="009E7F86"/>
    <w:rsid w:val="009F1030"/>
    <w:rsid w:val="009F1B6D"/>
    <w:rsid w:val="00A02039"/>
    <w:rsid w:val="00A04BD7"/>
    <w:rsid w:val="00A20EDD"/>
    <w:rsid w:val="00A212C7"/>
    <w:rsid w:val="00A23406"/>
    <w:rsid w:val="00A35D41"/>
    <w:rsid w:val="00A40953"/>
    <w:rsid w:val="00A459E3"/>
    <w:rsid w:val="00A571FE"/>
    <w:rsid w:val="00A636AF"/>
    <w:rsid w:val="00AA03DB"/>
    <w:rsid w:val="00AA164E"/>
    <w:rsid w:val="00AA3B2D"/>
    <w:rsid w:val="00AB0D6D"/>
    <w:rsid w:val="00AB68DD"/>
    <w:rsid w:val="00AC2B0B"/>
    <w:rsid w:val="00AD35D8"/>
    <w:rsid w:val="00AF6D19"/>
    <w:rsid w:val="00B018B8"/>
    <w:rsid w:val="00B1436F"/>
    <w:rsid w:val="00B17FDC"/>
    <w:rsid w:val="00B22148"/>
    <w:rsid w:val="00B25C4D"/>
    <w:rsid w:val="00B364E6"/>
    <w:rsid w:val="00B47F03"/>
    <w:rsid w:val="00B62010"/>
    <w:rsid w:val="00B712AC"/>
    <w:rsid w:val="00B82084"/>
    <w:rsid w:val="00B95E1A"/>
    <w:rsid w:val="00BB4808"/>
    <w:rsid w:val="00BD62E5"/>
    <w:rsid w:val="00BD715F"/>
    <w:rsid w:val="00BD7A11"/>
    <w:rsid w:val="00BE0134"/>
    <w:rsid w:val="00BE421E"/>
    <w:rsid w:val="00BE428E"/>
    <w:rsid w:val="00BF2167"/>
    <w:rsid w:val="00BF6AB5"/>
    <w:rsid w:val="00C03182"/>
    <w:rsid w:val="00C10C97"/>
    <w:rsid w:val="00C41CE2"/>
    <w:rsid w:val="00C452E4"/>
    <w:rsid w:val="00C53D36"/>
    <w:rsid w:val="00C57E0D"/>
    <w:rsid w:val="00C636EE"/>
    <w:rsid w:val="00C73C73"/>
    <w:rsid w:val="00C75F27"/>
    <w:rsid w:val="00C76A21"/>
    <w:rsid w:val="00CA3B61"/>
    <w:rsid w:val="00CB05CD"/>
    <w:rsid w:val="00CB268F"/>
    <w:rsid w:val="00CD046D"/>
    <w:rsid w:val="00CD15F8"/>
    <w:rsid w:val="00CF0128"/>
    <w:rsid w:val="00CF0812"/>
    <w:rsid w:val="00CF41FE"/>
    <w:rsid w:val="00CF4321"/>
    <w:rsid w:val="00CF5E94"/>
    <w:rsid w:val="00CF7BE1"/>
    <w:rsid w:val="00D16B69"/>
    <w:rsid w:val="00D21DEB"/>
    <w:rsid w:val="00D3514F"/>
    <w:rsid w:val="00D6266A"/>
    <w:rsid w:val="00D91F48"/>
    <w:rsid w:val="00D97443"/>
    <w:rsid w:val="00DB1764"/>
    <w:rsid w:val="00DB2440"/>
    <w:rsid w:val="00DB3C8A"/>
    <w:rsid w:val="00DB5F18"/>
    <w:rsid w:val="00DC5F89"/>
    <w:rsid w:val="00DD0C51"/>
    <w:rsid w:val="00E06E17"/>
    <w:rsid w:val="00E11578"/>
    <w:rsid w:val="00E25C09"/>
    <w:rsid w:val="00E35402"/>
    <w:rsid w:val="00E379EC"/>
    <w:rsid w:val="00E42DA2"/>
    <w:rsid w:val="00E47E0D"/>
    <w:rsid w:val="00E526C3"/>
    <w:rsid w:val="00E56A87"/>
    <w:rsid w:val="00E56E52"/>
    <w:rsid w:val="00E854B0"/>
    <w:rsid w:val="00E9403C"/>
    <w:rsid w:val="00E956E5"/>
    <w:rsid w:val="00E95DF8"/>
    <w:rsid w:val="00E97496"/>
    <w:rsid w:val="00EB642C"/>
    <w:rsid w:val="00EB67B5"/>
    <w:rsid w:val="00EB6A82"/>
    <w:rsid w:val="00EE1F86"/>
    <w:rsid w:val="00EE4190"/>
    <w:rsid w:val="00F01156"/>
    <w:rsid w:val="00F11389"/>
    <w:rsid w:val="00F11CAA"/>
    <w:rsid w:val="00F14865"/>
    <w:rsid w:val="00F3114F"/>
    <w:rsid w:val="00F3147A"/>
    <w:rsid w:val="00F31FF1"/>
    <w:rsid w:val="00F347B6"/>
    <w:rsid w:val="00F37571"/>
    <w:rsid w:val="00F44A15"/>
    <w:rsid w:val="00F4779A"/>
    <w:rsid w:val="00F70562"/>
    <w:rsid w:val="00F744B5"/>
    <w:rsid w:val="00F845F5"/>
    <w:rsid w:val="00F865EA"/>
    <w:rsid w:val="00F90AF4"/>
    <w:rsid w:val="00FA21BD"/>
    <w:rsid w:val="00FB46C7"/>
    <w:rsid w:val="00FC2B5F"/>
    <w:rsid w:val="00FD0009"/>
    <w:rsid w:val="00FD51B5"/>
    <w:rsid w:val="2E570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Salutation"/>
    <w:basedOn w:val="1"/>
    <w:next w:val="1"/>
    <w:uiPriority w:val="0"/>
  </w:style>
  <w:style w:type="paragraph" w:styleId="3">
    <w:name w:val="Plain Text"/>
    <w:basedOn w:val="1"/>
    <w:link w:val="16"/>
    <w:uiPriority w:val="99"/>
    <w:rPr>
      <w:rFonts w:ascii="宋体" w:hAnsi="Courier New" w:cs="Courier New"/>
      <w:szCs w:val="21"/>
    </w:rPr>
  </w:style>
  <w:style w:type="paragraph" w:styleId="4">
    <w:name w:val="Balloon Text"/>
    <w:basedOn w:val="1"/>
    <w:link w:val="15"/>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paragraph" w:customStyle="1" w:styleId="10">
    <w:name w:val="标题名"/>
    <w:basedOn w:val="3"/>
    <w:qFormat/>
    <w:uiPriority w:val="0"/>
    <w:pPr>
      <w:jc w:val="center"/>
    </w:pPr>
    <w:rPr>
      <w:rFonts w:hAnsi="宋体" w:eastAsia="宋体" w:cs="Courier New"/>
      <w:sz w:val="44"/>
      <w:szCs w:val="21"/>
    </w:rPr>
  </w:style>
  <w:style w:type="paragraph" w:customStyle="1" w:styleId="11">
    <w:name w:val="题注信息"/>
    <w:basedOn w:val="3"/>
    <w:qFormat/>
    <w:uiPriority w:val="0"/>
    <w:pPr>
      <w:ind w:leftChars="400" w:right="630" w:rightChars="300"/>
    </w:pPr>
    <w:rPr>
      <w:rFonts w:hAnsi="宋体" w:eastAsia="楷体_GB2312" w:cs="Courier New"/>
      <w:sz w:val="32"/>
      <w:szCs w:val="21"/>
    </w:rPr>
  </w:style>
  <w:style w:type="paragraph" w:customStyle="1" w:styleId="12">
    <w:name w:val="文号"/>
    <w:basedOn w:val="3"/>
    <w:uiPriority w:val="0"/>
    <w:pPr>
      <w:jc w:val="center"/>
    </w:pPr>
    <w:rPr>
      <w:rFonts w:hAnsi="宋体" w:eastAsia="楷体_GB2312" w:cs="Courier New"/>
      <w:sz w:val="32"/>
      <w:szCs w:val="21"/>
    </w:rPr>
  </w:style>
  <w:style w:type="paragraph" w:customStyle="1" w:styleId="13">
    <w:name w:val="默认段落字体 Para Char Char Char Char Char Char Char"/>
    <w:basedOn w:val="1"/>
    <w:uiPriority w:val="0"/>
  </w:style>
  <w:style w:type="character" w:customStyle="1" w:styleId="14">
    <w:name w:val="页眉 Char"/>
    <w:basedOn w:val="8"/>
    <w:link w:val="6"/>
    <w:uiPriority w:val="0"/>
    <w:rPr>
      <w:kern w:val="2"/>
      <w:sz w:val="18"/>
      <w:szCs w:val="18"/>
    </w:rPr>
  </w:style>
  <w:style w:type="character" w:customStyle="1" w:styleId="15">
    <w:name w:val="批注框文本 Char"/>
    <w:basedOn w:val="8"/>
    <w:link w:val="4"/>
    <w:qFormat/>
    <w:uiPriority w:val="0"/>
    <w:rPr>
      <w:kern w:val="2"/>
      <w:sz w:val="18"/>
      <w:szCs w:val="18"/>
    </w:rPr>
  </w:style>
  <w:style w:type="character" w:customStyle="1" w:styleId="16">
    <w:name w:val="纯文本 Char"/>
    <w:basedOn w:val="8"/>
    <w:link w:val="3"/>
    <w:uiPriority w:val="99"/>
    <w:rPr>
      <w:rFonts w:ascii="宋体" w:hAnsi="Courier New" w:cs="Courier New"/>
      <w:kern w:val="2"/>
      <w:sz w:val="21"/>
      <w:szCs w:val="21"/>
    </w:rPr>
  </w:style>
  <w:style w:type="paragraph" w:customStyle="1" w:styleId="17">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0A0059-2D52-4DBD-A422-F1E407C3AE44}">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5</Pages>
  <Words>1808</Words>
  <Characters>513</Characters>
  <Lines>4</Lines>
  <Paragraphs>4</Paragraphs>
  <TotalTime>1</TotalTime>
  <ScaleCrop>false</ScaleCrop>
  <LinksUpToDate>false</LinksUpToDate>
  <CharactersWithSpaces>2317</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2018-12-27T08:57:00Z</dcterms:created>
  <dc:creator>Lenovo User</dc:creator>
  <cp:lastModifiedBy>爱思思</cp:lastModifiedBy>
  <cp:lastPrinted>2014-04-03T09:04:00Z</cp:lastPrinted>
  <dcterms:modified xsi:type="dcterms:W3CDTF">2019-08-07T03:00:18Z</dcterms:modified>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